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DF0AD9" w:rsidRDefault="00A171F5" w:rsidP="00A171F5">
      <w:pPr>
        <w:pStyle w:val="Texto2"/>
        <w:numPr>
          <w:ilvl w:val="0"/>
          <w:numId w:val="16"/>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6BCD3441" w14:textId="77777777" w:rsidR="00A171F5" w:rsidRPr="00B63072" w:rsidRDefault="00A171F5" w:rsidP="00A171F5">
      <w:pPr>
        <w:pStyle w:val="Texto2"/>
        <w:numPr>
          <w:ilvl w:val="0"/>
          <w:numId w:val="16"/>
        </w:numPr>
        <w:spacing w:before="120" w:after="120"/>
        <w:ind w:left="357"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AA3E58" w:rsidRDefault="00A171F5" w:rsidP="00A171F5">
      <w:pPr>
        <w:pStyle w:val="Texto2"/>
        <w:numPr>
          <w:ilvl w:val="0"/>
          <w:numId w:val="16"/>
        </w:numPr>
        <w:spacing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3E330C63" w14:textId="77777777" w:rsidR="00A171F5" w:rsidRPr="00042DC8" w:rsidRDefault="00A171F5" w:rsidP="00A171F5">
      <w:pPr>
        <w:pStyle w:val="Texto2"/>
        <w:numPr>
          <w:ilvl w:val="0"/>
          <w:numId w:val="16"/>
        </w:numPr>
        <w:spacing w:before="120" w:after="240"/>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según lo dispuesto en el Reglamento (UE) Nº 1407/2013, de la Comisión Europea, relativo a la aplicación de los artículos 107 y 108 del Tratado UE</w:t>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B71B61">
        <w:trPr>
          <w:trHeight w:val="445"/>
        </w:trPr>
        <w:tc>
          <w:tcPr>
            <w:tcW w:w="992" w:type="dxa"/>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B71B61">
        <w:tc>
          <w:tcPr>
            <w:tcW w:w="992" w:type="dxa"/>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77777777"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c>
      </w:tr>
    </w:tbl>
    <w:p w14:paraId="4AA4261F" w14:textId="77777777" w:rsidR="00A171F5" w:rsidRPr="00B63072" w:rsidRDefault="00A171F5" w:rsidP="00A171F5">
      <w:pPr>
        <w:autoSpaceDE w:val="0"/>
        <w:autoSpaceDN w:val="0"/>
        <w:spacing w:line="276" w:lineRule="auto"/>
        <w:rPr>
          <w:rFonts w:asciiTheme="minorHAnsi" w:hAnsiTheme="minorHAnsi" w:cstheme="minorHAnsi"/>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64B7028" w:rsidR="00E820D0" w:rsidRDefault="00E820D0">
      <w:pPr>
        <w:spacing w:line="240" w:lineRule="auto"/>
        <w:jc w:val="left"/>
        <w:rPr>
          <w:rFonts w:asciiTheme="minorHAnsi" w:hAnsiTheme="minorHAnsi" w:cs="Arial"/>
          <w:b/>
          <w:i/>
          <w:snapToGrid w:val="0"/>
          <w:sz w:val="28"/>
          <w:szCs w:val="28"/>
        </w:rPr>
      </w:pPr>
      <w:r>
        <w:rPr>
          <w:rFonts w:asciiTheme="minorHAnsi" w:hAnsiTheme="minorHAnsi" w:cs="Arial"/>
          <w:b/>
          <w:bCs w:val="0"/>
          <w:i/>
          <w:sz w:val="28"/>
          <w:szCs w:val="28"/>
        </w:rPr>
        <w:br w:type="page"/>
      </w:r>
    </w:p>
    <w:p w14:paraId="15CBD31E" w14:textId="0A395D21"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41873739"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2"/>
              <w:t>Tipo de empresa</w:t>
            </w:r>
            <w:r w:rsidRPr="00774C53">
              <w:rPr>
                <w:rStyle w:val="Refdenotaalpie"/>
                <w:b/>
                <w:u w:val="single"/>
                <w:lang w:val="es-ES_tradnl"/>
              </w:rPr>
              <w:footnoteReference w:id="3"/>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55B6841E"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4"/>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6"/>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7"/>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 a…. de……..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E820D0">
      <w:pPr>
        <w:pStyle w:val="Textoindependiente"/>
        <w:spacing w:line="240" w:lineRule="auto"/>
        <w:ind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5A04F6">
          <w:headerReference w:type="default" r:id="rId12"/>
          <w:footerReference w:type="even" r:id="rId13"/>
          <w:footerReference w:type="default" r:id="rId14"/>
          <w:pgSz w:w="11907" w:h="16840" w:code="9"/>
          <w:pgMar w:top="2542" w:right="1134" w:bottom="993" w:left="1260" w:header="709" w:footer="107"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147C2072"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de régimen autónomo</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3134321F"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asociada</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a otra empresa si tiene, sola o conjuntamente con una o más empresas vinculadas en el sentido del artículo 3(3) del Anexo de la Recomendación de la Comisión 2003/361/CE, al menos el 25%, pero no más del 50% de otra empresa.</w:t>
      </w:r>
    </w:p>
    <w:p w14:paraId="43327779" w14:textId="7E73D91E"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as</w:t>
      </w:r>
      <w:r w:rsidR="002B7061">
        <w:rPr>
          <w:rFonts w:asciiTheme="minorHAnsi" w:hAnsiTheme="minorHAnsi" w:cstheme="minorHAnsi"/>
          <w:color w:val="384A53"/>
          <w:sz w:val="14"/>
          <w:szCs w:val="16"/>
        </w:rPr>
        <w:t xml:space="preserve">í </w:t>
      </w:r>
      <w:r w:rsidRPr="002E0D01">
        <w:rPr>
          <w:rFonts w:asciiTheme="minorHAnsi" w:hAnsiTheme="minorHAnsi" w:cstheme="minorHAnsi"/>
          <w:b/>
          <w:color w:val="384A53"/>
          <w:sz w:val="14"/>
          <w:szCs w:val="16"/>
        </w:rPr>
        <w:t>vinculada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522F0EE8"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organismos públicos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3A1469B3" w14:textId="020E90BB"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Volumen de Negocio Anual</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53B50074"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542AC0CB"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w:t>
      </w:r>
      <w:r w:rsidR="00F27CA6">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asociadas</w:t>
      </w:r>
      <w:r w:rsidR="00F27CA6">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0B6FE3C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vinculadas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a los datos de plantilla y financieros de la empresa en cuestión. Si la empresa asociada tiene empresas asociadas inmediatamente intermedias (hacia arriba o hacia abajo, directa o indirectamente)</w:t>
      </w:r>
      <w:r w:rsidR="00A270E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5"/>
      <w:footerReference w:type="default" r:id="rId16"/>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F2456" w14:textId="77777777" w:rsidR="00DD17E9" w:rsidRDefault="00DD17E9">
      <w:r>
        <w:separator/>
      </w:r>
    </w:p>
  </w:endnote>
  <w:endnote w:type="continuationSeparator" w:id="0">
    <w:p w14:paraId="5B41DAE0" w14:textId="77777777" w:rsidR="00DD17E9" w:rsidRDefault="00DD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77777777" w:rsidR="00E143A2" w:rsidRDefault="00515C65" w:rsidP="0070152C">
          <w:pPr>
            <w:pStyle w:val="Piedepgina"/>
            <w:rPr>
              <w:lang w:val="es-ES_tradnl"/>
            </w:rPr>
          </w:pPr>
          <w:r>
            <w:rPr>
              <w:lang w:val="es-ES_tradnl"/>
            </w:rPr>
            <w:t>V</w:t>
          </w:r>
          <w:r w:rsidR="00E6473C">
            <w:rPr>
              <w:lang w:val="es-ES_tradnl"/>
            </w:rPr>
            <w:t>202</w:t>
          </w:r>
          <w:r w:rsidR="0070152C">
            <w:rPr>
              <w:lang w:val="es-ES_tradnl"/>
            </w:rPr>
            <w:t>1</w:t>
          </w: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6E1E" w14:textId="77777777" w:rsidR="00DD17E9" w:rsidRDefault="00DD17E9">
      <w:r>
        <w:separator/>
      </w:r>
    </w:p>
  </w:footnote>
  <w:footnote w:type="continuationSeparator" w:id="0">
    <w:p w14:paraId="2D89D475" w14:textId="77777777" w:rsidR="00DD17E9" w:rsidRDefault="00DD17E9">
      <w:r>
        <w:continuationSeparator/>
      </w:r>
    </w:p>
  </w:footnote>
  <w:footnote w:id="1">
    <w:p w14:paraId="5146B0D8" w14:textId="77777777" w:rsidR="00A171F5" w:rsidRDefault="00A171F5" w:rsidP="00A171F5">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minimis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minimis </w:t>
      </w:r>
      <w:r w:rsidRPr="00CD4EBD">
        <w:rPr>
          <w:rFonts w:ascii="Arial" w:hAnsi="Arial" w:cs="Arial"/>
          <w:color w:val="000000"/>
          <w:sz w:val="16"/>
          <w:szCs w:val="16"/>
        </w:rPr>
        <w:t>a la empresa.</w:t>
      </w:r>
    </w:p>
  </w:footnote>
  <w:footnote w:id="2">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3">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F27CA6"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4">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5">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6">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7">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669572CC" w:rsidR="005D1994" w:rsidRPr="008064C4" w:rsidRDefault="00633FC6" w:rsidP="008064C4">
    <w:pPr>
      <w:pStyle w:val="Encabezado"/>
    </w:pPr>
    <w:r>
      <w:rPr>
        <w:noProof/>
      </w:rPr>
      <w:drawing>
        <wp:anchor distT="0" distB="0" distL="114300" distR="114300" simplePos="0" relativeHeight="251660288" behindDoc="0" locked="0" layoutInCell="1" allowOverlap="1" wp14:anchorId="68A51A01" wp14:editId="0C464F90">
          <wp:simplePos x="0" y="0"/>
          <wp:positionH relativeFrom="margin">
            <wp:align>left</wp:align>
          </wp:positionH>
          <wp:positionV relativeFrom="paragraph">
            <wp:posOffset>-2983</wp:posOffset>
          </wp:positionV>
          <wp:extent cx="847725" cy="714375"/>
          <wp:effectExtent l="0" t="0" r="9525" b="952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4F6">
      <w:rPr>
        <w:noProof/>
      </w:rPr>
      <w:drawing>
        <wp:anchor distT="0" distB="0" distL="114300" distR="114300" simplePos="0" relativeHeight="251659264" behindDoc="0" locked="0" layoutInCell="1" allowOverlap="1" wp14:anchorId="0066B7EC" wp14:editId="750EF696">
          <wp:simplePos x="0" y="0"/>
          <wp:positionH relativeFrom="column">
            <wp:posOffset>1846462</wp:posOffset>
          </wp:positionH>
          <wp:positionV relativeFrom="paragraph">
            <wp:posOffset>115570</wp:posOffset>
          </wp:positionV>
          <wp:extent cx="1670685" cy="481330"/>
          <wp:effectExtent l="0" t="0" r="5715" b="0"/>
          <wp:wrapSquare wrapText="bothSides"/>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481330"/>
                  </a:xfrm>
                  <a:prstGeom prst="rect">
                    <a:avLst/>
                  </a:prstGeom>
                  <a:noFill/>
                </pic:spPr>
              </pic:pic>
            </a:graphicData>
          </a:graphic>
          <wp14:sizeRelH relativeFrom="page">
            <wp14:pctWidth>0</wp14:pctWidth>
          </wp14:sizeRelH>
          <wp14:sizeRelV relativeFrom="page">
            <wp14:pctHeight>0</wp14:pctHeight>
          </wp14:sizeRelV>
        </wp:anchor>
      </w:drawing>
    </w:r>
    <w:r w:rsidR="005A04F6">
      <w:rPr>
        <w:noProof/>
        <w:sz w:val="22"/>
        <w:szCs w:val="22"/>
        <w:lang w:eastAsia="es-ES"/>
      </w:rPr>
      <w:drawing>
        <wp:anchor distT="0" distB="0" distL="114300" distR="114300" simplePos="0" relativeHeight="251658240" behindDoc="0" locked="0" layoutInCell="1" allowOverlap="1" wp14:anchorId="320799D4" wp14:editId="313FE858">
          <wp:simplePos x="0" y="0"/>
          <wp:positionH relativeFrom="margin">
            <wp:align>right</wp:align>
          </wp:positionH>
          <wp:positionV relativeFrom="paragraph">
            <wp:posOffset>92828</wp:posOffset>
          </wp:positionV>
          <wp:extent cx="1671320" cy="499110"/>
          <wp:effectExtent l="0" t="0" r="5080"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1320" cy="499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A1577"/>
    <w:rsid w:val="000D2893"/>
    <w:rsid w:val="000D6F65"/>
    <w:rsid w:val="000F3778"/>
    <w:rsid w:val="00110EB0"/>
    <w:rsid w:val="00111F4A"/>
    <w:rsid w:val="0013307F"/>
    <w:rsid w:val="00151B35"/>
    <w:rsid w:val="001526D3"/>
    <w:rsid w:val="00154E84"/>
    <w:rsid w:val="00157EC2"/>
    <w:rsid w:val="00163A22"/>
    <w:rsid w:val="00165853"/>
    <w:rsid w:val="00173E8A"/>
    <w:rsid w:val="00177ECB"/>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B7061"/>
    <w:rsid w:val="002C34B7"/>
    <w:rsid w:val="002C451B"/>
    <w:rsid w:val="002D78E2"/>
    <w:rsid w:val="002E0D01"/>
    <w:rsid w:val="002E4756"/>
    <w:rsid w:val="002E7A0F"/>
    <w:rsid w:val="003120EE"/>
    <w:rsid w:val="00316CE8"/>
    <w:rsid w:val="0032160B"/>
    <w:rsid w:val="0032692A"/>
    <w:rsid w:val="00330A4C"/>
    <w:rsid w:val="003336A7"/>
    <w:rsid w:val="003341F9"/>
    <w:rsid w:val="00354DB0"/>
    <w:rsid w:val="00365F93"/>
    <w:rsid w:val="00372DF3"/>
    <w:rsid w:val="00386CEB"/>
    <w:rsid w:val="003A4C50"/>
    <w:rsid w:val="003B2C66"/>
    <w:rsid w:val="003C400D"/>
    <w:rsid w:val="003E5BCE"/>
    <w:rsid w:val="003F4807"/>
    <w:rsid w:val="003F5DF2"/>
    <w:rsid w:val="004035FB"/>
    <w:rsid w:val="00415DBD"/>
    <w:rsid w:val="004213F1"/>
    <w:rsid w:val="00421DDB"/>
    <w:rsid w:val="00437A38"/>
    <w:rsid w:val="004413FC"/>
    <w:rsid w:val="004549C7"/>
    <w:rsid w:val="00470978"/>
    <w:rsid w:val="004B511D"/>
    <w:rsid w:val="004E19EF"/>
    <w:rsid w:val="00515C65"/>
    <w:rsid w:val="00516DA3"/>
    <w:rsid w:val="00537924"/>
    <w:rsid w:val="00551398"/>
    <w:rsid w:val="00572F28"/>
    <w:rsid w:val="00574A73"/>
    <w:rsid w:val="00574B29"/>
    <w:rsid w:val="00580165"/>
    <w:rsid w:val="00581AAF"/>
    <w:rsid w:val="00581C5E"/>
    <w:rsid w:val="005957AA"/>
    <w:rsid w:val="005A04F6"/>
    <w:rsid w:val="005B13B7"/>
    <w:rsid w:val="005B4038"/>
    <w:rsid w:val="005C128C"/>
    <w:rsid w:val="005D1994"/>
    <w:rsid w:val="005D2D84"/>
    <w:rsid w:val="005F752D"/>
    <w:rsid w:val="005F7CFB"/>
    <w:rsid w:val="0061269A"/>
    <w:rsid w:val="00613DEE"/>
    <w:rsid w:val="00633FC6"/>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4C53"/>
    <w:rsid w:val="00776611"/>
    <w:rsid w:val="0078137B"/>
    <w:rsid w:val="00782C6F"/>
    <w:rsid w:val="007A622D"/>
    <w:rsid w:val="007C0C97"/>
    <w:rsid w:val="007D33B0"/>
    <w:rsid w:val="007E2BE4"/>
    <w:rsid w:val="00802D63"/>
    <w:rsid w:val="008064C4"/>
    <w:rsid w:val="00860248"/>
    <w:rsid w:val="00860568"/>
    <w:rsid w:val="00866499"/>
    <w:rsid w:val="00866E85"/>
    <w:rsid w:val="008724CB"/>
    <w:rsid w:val="00873F2D"/>
    <w:rsid w:val="0089043D"/>
    <w:rsid w:val="00892AB4"/>
    <w:rsid w:val="00895169"/>
    <w:rsid w:val="008A4E09"/>
    <w:rsid w:val="008D4DB2"/>
    <w:rsid w:val="008F4660"/>
    <w:rsid w:val="008F651A"/>
    <w:rsid w:val="00923039"/>
    <w:rsid w:val="0092450D"/>
    <w:rsid w:val="00940EBC"/>
    <w:rsid w:val="009469EF"/>
    <w:rsid w:val="00947084"/>
    <w:rsid w:val="00962B62"/>
    <w:rsid w:val="009645B9"/>
    <w:rsid w:val="0096489E"/>
    <w:rsid w:val="00973CCC"/>
    <w:rsid w:val="00974D5F"/>
    <w:rsid w:val="009750AE"/>
    <w:rsid w:val="009971D5"/>
    <w:rsid w:val="009A7315"/>
    <w:rsid w:val="009B5715"/>
    <w:rsid w:val="009C313A"/>
    <w:rsid w:val="009E4367"/>
    <w:rsid w:val="009E6F77"/>
    <w:rsid w:val="009E7121"/>
    <w:rsid w:val="009F1FF3"/>
    <w:rsid w:val="00A00236"/>
    <w:rsid w:val="00A030BD"/>
    <w:rsid w:val="00A171F5"/>
    <w:rsid w:val="00A172AF"/>
    <w:rsid w:val="00A1778E"/>
    <w:rsid w:val="00A24FE0"/>
    <w:rsid w:val="00A270E1"/>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262AC"/>
    <w:rsid w:val="00C34C2B"/>
    <w:rsid w:val="00C351B8"/>
    <w:rsid w:val="00C56FAA"/>
    <w:rsid w:val="00C61429"/>
    <w:rsid w:val="00C63E57"/>
    <w:rsid w:val="00C6793F"/>
    <w:rsid w:val="00C7359C"/>
    <w:rsid w:val="00C90FEE"/>
    <w:rsid w:val="00C92E04"/>
    <w:rsid w:val="00C93837"/>
    <w:rsid w:val="00CB372B"/>
    <w:rsid w:val="00CC5611"/>
    <w:rsid w:val="00CF317E"/>
    <w:rsid w:val="00D06EC1"/>
    <w:rsid w:val="00D15BDB"/>
    <w:rsid w:val="00D267C2"/>
    <w:rsid w:val="00D32652"/>
    <w:rsid w:val="00D432AD"/>
    <w:rsid w:val="00D4571C"/>
    <w:rsid w:val="00D759AE"/>
    <w:rsid w:val="00D825C0"/>
    <w:rsid w:val="00D91071"/>
    <w:rsid w:val="00DA6134"/>
    <w:rsid w:val="00DB4D26"/>
    <w:rsid w:val="00DC36EB"/>
    <w:rsid w:val="00DD17E9"/>
    <w:rsid w:val="00DF332F"/>
    <w:rsid w:val="00DF7D91"/>
    <w:rsid w:val="00E01621"/>
    <w:rsid w:val="00E01C6F"/>
    <w:rsid w:val="00E143A2"/>
    <w:rsid w:val="00E152FD"/>
    <w:rsid w:val="00E3428F"/>
    <w:rsid w:val="00E441A5"/>
    <w:rsid w:val="00E60B74"/>
    <w:rsid w:val="00E6473C"/>
    <w:rsid w:val="00E71BC2"/>
    <w:rsid w:val="00E820D0"/>
    <w:rsid w:val="00E865D1"/>
    <w:rsid w:val="00E908E3"/>
    <w:rsid w:val="00E97A7A"/>
    <w:rsid w:val="00EC27FF"/>
    <w:rsid w:val="00ED2721"/>
    <w:rsid w:val="00EF33EC"/>
    <w:rsid w:val="00EF67F3"/>
    <w:rsid w:val="00F27CA6"/>
    <w:rsid w:val="00F42315"/>
    <w:rsid w:val="00F42E7F"/>
    <w:rsid w:val="00F441CD"/>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4"/>
    <o:shapelayout v:ext="edit">
      <o:idmap v:ext="edit" data="1"/>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semiHidden/>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semiHidden/>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2.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4.xml><?xml version="1.0" encoding="utf-8"?>
<ds:datastoreItem xmlns:ds="http://schemas.openxmlformats.org/officeDocument/2006/customXml" ds:itemID="{250E6DF1-54DF-49F8-A318-D3DA07CD5BB9}">
  <ds:schemaRefs>
    <ds:schemaRef ds:uri="2c4912aa-20b2-4f81-b3f0-61eb74ff8119"/>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37c191be-83eb-4247-b81b-e23449fb04c8"/>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2568</Words>
  <Characters>13040</Characters>
  <Application>Microsoft Office Word</Application>
  <DocSecurity>0</DocSecurity>
  <Lines>108</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15577</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VICTOR GRAGERA SALCEDO</cp:lastModifiedBy>
  <cp:revision>15</cp:revision>
  <cp:lastPrinted>2016-02-08T08:19:00Z</cp:lastPrinted>
  <dcterms:created xsi:type="dcterms:W3CDTF">2021-03-18T13:16:00Z</dcterms:created>
  <dcterms:modified xsi:type="dcterms:W3CDTF">2021-05-07T11:21:00Z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